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60" w:type="dxa"/>
        <w:jc w:val="lef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>
              <w:bottom w:val="single" w:sz="6" w:space="0" w:color="000000"/>
            </w:tcBorders>
          </w:tcPr>
          <w:p>
            <w:pPr>
              <w:pStyle w:val="Normal"/>
              <w:spacing w:before="0" w:after="28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val="ru-RU"/>
              </w:rPr>
              <w:t>Государственное казенное учреждение Брянской области « Отдел социальной защиты населения Почепского района»</w:t>
            </w:r>
          </w:p>
          <w:p>
            <w:pPr>
              <w:pStyle w:val="Normal"/>
              <w:spacing w:before="28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ИНН 3252003799, КПП 325201001, ОКПО 97509207</w:t>
            </w:r>
          </w:p>
        </w:tc>
      </w:tr>
      <w:tr>
        <w:trPr/>
        <w:tc>
          <w:tcPr>
            <w:tcW w:w="9360" w:type="dxa"/>
            <w:tcBorders>
              <w:top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полное наименование учреждения</w:t>
            </w:r>
          </w:p>
        </w:tc>
      </w:tr>
      <w:tr>
        <w:trPr/>
        <w:tc>
          <w:tcPr>
            <w:tcW w:w="9360" w:type="dxa"/>
            <w:tcBorders/>
            <w:vAlign w:val="center"/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280" w:after="28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ПРИКАЗ  № 32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  <w:lang w:val="ru-RU"/>
        </w:rPr>
        <w:br/>
      </w:r>
      <w:r>
        <w:rPr>
          <w:color w:val="000000"/>
          <w:sz w:val="28"/>
          <w:szCs w:val="28"/>
          <w:lang w:val="ru-RU"/>
        </w:rPr>
        <w:t xml:space="preserve"> об утверждении учетной политики для целей бюджетного учета</w:t>
      </w:r>
    </w:p>
    <w:p>
      <w:pPr>
        <w:pStyle w:val="Normal"/>
        <w:spacing w:before="280" w:after="28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tbl>
      <w:tblPr>
        <w:tblW w:w="9510" w:type="dxa"/>
        <w:jc w:val="lef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619"/>
        <w:gridCol w:w="4890"/>
      </w:tblGrid>
      <w:tr>
        <w:trPr/>
        <w:tc>
          <w:tcPr>
            <w:tcW w:w="4619" w:type="dxa"/>
            <w:tcBorders/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г. Почеп</w:t>
            </w:r>
          </w:p>
        </w:tc>
        <w:tc>
          <w:tcPr>
            <w:tcW w:w="4890" w:type="dxa"/>
            <w:tcBorders/>
          </w:tcPr>
          <w:p>
            <w:pPr>
              <w:pStyle w:val="Normal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22.12.</w:t>
            </w:r>
            <w:r>
              <w:rPr>
                <w:color w:val="000000"/>
                <w:sz w:val="28"/>
                <w:szCs w:val="28"/>
                <w:lang w:val="ru-RU"/>
              </w:rPr>
              <w:t>2023г.</w:t>
            </w:r>
          </w:p>
        </w:tc>
      </w:tr>
      <w:tr>
        <w:trPr/>
        <w:tc>
          <w:tcPr>
            <w:tcW w:w="4619" w:type="dxa"/>
            <w:tcBorders/>
            <w:vAlign w:val="center"/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4890" w:type="dxa"/>
            <w:tcBorders/>
            <w:vAlign w:val="center"/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before="280" w:after="2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Во исполнение Закона от 06.12.2011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№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402-ФЗ и приказа Минфина от 01.12.2010 №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157н, Федерального стандарта «Учетная политика, оценочные значения и ошибки»,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утвержденного приказом Минфина от 30.12.2017 № 274н</w:t>
      </w:r>
    </w:p>
    <w:p>
      <w:pPr>
        <w:pStyle w:val="Normal"/>
        <w:spacing w:before="280" w:after="2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ПРИКАЗЫВАЮ:</w:t>
      </w:r>
    </w:p>
    <w:p>
      <w:pPr>
        <w:pStyle w:val="Normal"/>
        <w:spacing w:before="280" w:after="2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1. Утвердить учетную политику для целей бюджетного учета согласно приложению и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ввести ее в действие с 1 января 2024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года.</w:t>
      </w:r>
    </w:p>
    <w:p>
      <w:pPr>
        <w:pStyle w:val="Normal"/>
        <w:spacing w:before="280" w:after="2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2. Довести до всех подразделений и служб учреждения соответствующие документы,  необходимые для обеспечения реализации учетной политики в учреждении и организации  бюджетного учета, документооборота, санкционирования расходов учреждения.</w:t>
      </w:r>
    </w:p>
    <w:p>
      <w:pPr>
        <w:pStyle w:val="Normal"/>
        <w:spacing w:lineRule="auto" w:line="240" w:before="280" w:after="28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3. Контроль за исполнением приказа возложить на главного бухгалтера     А.А. Шереметьеву.</w:t>
      </w:r>
    </w:p>
    <w:p>
      <w:pPr>
        <w:pStyle w:val="Normal"/>
        <w:spacing w:before="280" w:after="280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Начальник  ГКУ ОСЗН Почепского района:                                    В.И.Калещак</w:t>
      </w:r>
    </w:p>
    <w:p>
      <w:pPr>
        <w:pStyle w:val="Normal"/>
        <w:spacing w:before="280" w:after="280"/>
        <w:rPr>
          <w:color w:val="000000"/>
          <w:lang w:val="ru-RU"/>
        </w:rPr>
      </w:pPr>
      <w:r>
        <w:rPr>
          <w:color w:val="000000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 приказом ознакомлена                                                                     А.А.Шереметьева</w:t>
      </w:r>
    </w:p>
    <w:tbl>
      <w:tblPr>
        <w:tblW w:w="9856" w:type="dxa"/>
        <w:jc w:val="lef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856"/>
      </w:tblGrid>
      <w:tr>
        <w:trPr/>
        <w:tc>
          <w:tcPr>
            <w:tcW w:w="9856" w:type="dxa"/>
            <w:tcBorders/>
          </w:tcPr>
          <w:p>
            <w:pPr>
              <w:pStyle w:val="Normal"/>
              <w:spacing w:before="0" w:after="280"/>
              <w:ind w:left="75" w:right="75" w:hanging="0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Приложение</w:t>
            </w:r>
          </w:p>
          <w:p>
            <w:pPr>
              <w:pStyle w:val="Normal"/>
              <w:spacing w:before="280" w:after="0"/>
              <w:ind w:left="75" w:right="75" w:hanging="0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 приказу от _</w:t>
            </w:r>
            <w:r>
              <w:rPr>
                <w:color w:val="000000"/>
                <w:sz w:val="24"/>
                <w:szCs w:val="24"/>
                <w:lang w:val="ru-RU"/>
              </w:rPr>
              <w:t>22.12.2023</w:t>
            </w:r>
            <w:r>
              <w:rPr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color w:val="000000"/>
                <w:sz w:val="24"/>
                <w:szCs w:val="24"/>
                <w:lang w:val="ru-RU"/>
              </w:rPr>
              <w:t>32</w:t>
            </w:r>
            <w:r>
              <w:rPr>
                <w:color w:val="000000"/>
                <w:sz w:val="24"/>
                <w:szCs w:val="24"/>
                <w:lang w:val="ru-RU"/>
              </w:rPr>
              <w:t>__</w:t>
            </w:r>
          </w:p>
        </w:tc>
      </w:tr>
    </w:tbl>
    <w:p>
      <w:pPr>
        <w:pStyle w:val="Normal"/>
        <w:spacing w:before="280" w:after="280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Учетная политика для целей бюджетного учета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Учетная политика государственного казенного учреждения Брянской области «Отдел социальной защиты населения Почепского района» разработана в соответствии: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 приказом Минфина от 01.12.2010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</w:t>
      </w:r>
      <w:r>
        <w:rPr>
          <w:i/>
          <w:iCs/>
          <w:color w:val="000000"/>
          <w:sz w:val="24"/>
          <w:szCs w:val="24"/>
          <w:lang w:val="ru-RU"/>
        </w:rPr>
        <w:t>«</w:t>
      </w:r>
      <w:r>
        <w:rPr>
          <w:color w:val="000000"/>
          <w:sz w:val="24"/>
          <w:szCs w:val="24"/>
          <w:lang w:val="ru-RU"/>
        </w:rPr>
        <w:t>Об утверждении Единого плана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(государственных органов), органов местного самоуправления, органов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управления государственными внебюджетными фондами, государственных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академий наук, государственных (муниципальных) учреждений и Инструкции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его применению» </w:t>
      </w:r>
      <w:r>
        <w:rPr>
          <w:color w:val="000000"/>
          <w:sz w:val="24"/>
          <w:szCs w:val="24"/>
        </w:rPr>
        <w:t>(далее – Инструкции к Единому плану счетов № 157н);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приказом Минфина от 06.12.2010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162н «Об утверждении Плана счетов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бюджетного учета и Инструкции по его применению» </w:t>
      </w:r>
      <w:r>
        <w:rPr>
          <w:color w:val="000000"/>
          <w:sz w:val="24"/>
          <w:szCs w:val="24"/>
        </w:rPr>
        <w:t>(далее – Инструкция № 162н);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управления»(далее – приказ № 209н);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color w:val="000000"/>
          <w:sz w:val="24"/>
          <w:szCs w:val="24"/>
        </w:rPr>
        <w:t>(далее – приказ № 52н);</w:t>
      </w:r>
    </w:p>
    <w:p>
      <w:pPr>
        <w:pStyle w:val="Normal"/>
        <w:numPr>
          <w:ilvl w:val="0"/>
          <w:numId w:val="1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 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от 28.02.2018 № 34н (далее – СГС «Непроизведенные активы»), от 30.05.2018 №122н, №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договоры»).</w:t>
      </w:r>
    </w:p>
    <w:p>
      <w:pPr>
        <w:pStyle w:val="Normal"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Используемые термины и сокращения</w:t>
      </w:r>
    </w:p>
    <w:tbl>
      <w:tblPr>
        <w:tblW w:w="9360" w:type="dxa"/>
        <w:jc w:val="lef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349"/>
        <w:gridCol w:w="6010"/>
      </w:tblGrid>
      <w:tr>
        <w:trPr/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Расшифровка </w:t>
            </w:r>
          </w:p>
        </w:tc>
      </w:tr>
      <w:tr>
        <w:trPr/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государственное казенное учреждение Брянской области «Отдел социальной защиты населения Почепского района»</w:t>
            </w:r>
          </w:p>
        </w:tc>
      </w:tr>
      <w:tr>
        <w:trPr/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1–17 разряды номера счета в соответствии с Рабочим планом счетов</w:t>
            </w:r>
          </w:p>
        </w:tc>
      </w:tr>
      <w:tr>
        <w:trPr/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разряд – соответствующая подстатья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КОСГУ</w:t>
            </w:r>
          </w:p>
        </w:tc>
      </w:tr>
      <w:tr>
        <w:trPr/>
        <w:tc>
          <w:tcPr>
            <w:tcW w:w="3349" w:type="dxa"/>
            <w:tcBorders/>
            <w:vAlign w:val="center"/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6010" w:type="dxa"/>
            <w:tcBorders/>
            <w:vAlign w:val="center"/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280" w:after="28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I. Общие положения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Бюджетный учет ведет структурное подразделение – бухгалтерия, возглавляемая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главным бухгалтером. Сотрудники бухгалтерии руководствуются в работе Положением 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бухгалтерии, должностными инструкциями.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Ответственным за ведение бюджетного учета в учреждении является главный бухгалтер.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часть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3 статьи 7 Закона от 06.12.2011 № 402-ФЗ, пункт 4 Инструкции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Единому плану счетов № 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Бюджетный учет в обособленных подразделениях учреждения, имеющих лицевые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счета в территориальных органах Федерального казначейства, ведут бухгалтерии этих подразделений.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3. В учреждении действуют постоянные комиссии: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комиссия по поступлению и выбытию активов (приложение 1);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инвентаризационная комиссия (приложение 2);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комиссия по проверке показаний одометров автотранспорта (приложение 3).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 Учреждение публикует основные положения учетной политики на своем официальном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сайте путем размещения копий документов учетной политики.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 При внесении изменений в учетную политику главный бухгалтер оценивает в целях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сопоставления отчетности существенность изменения показателей, отражающих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финансовое положение, финансовые результаты деятельности учреждения и движение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его денежных средств на основе своего профессионального суждения. Также на основе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профессионального суждения оценивается существенность ошибок отчетного периода,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выявленных после утверждения отчетности, в целях принятия решения о раскрытии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Пояснениях к отчетности информации о существенных ошибках.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</w:t>
      </w:r>
      <w:r>
        <w:rPr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Бухучет ведется в электронном виде с применением программных продуктов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«Бухгалтерия» и «Зарплата».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 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бухгалтерия учреждения осуществляет электронный документооборот по следующим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направлениям: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Федерального казначейства;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передача бухгалтерской отчетности учредителю;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инспекцию </w:t>
      </w:r>
      <w:r>
        <w:rPr>
          <w:color w:val="000000"/>
          <w:sz w:val="24"/>
          <w:szCs w:val="24"/>
        </w:rPr>
        <w:t>Федеральной налоговой службы;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передача отчетности в отделение Пенсионного фонда России;</w:t>
      </w:r>
    </w:p>
    <w:p>
      <w:pPr>
        <w:pStyle w:val="Normal"/>
        <w:numPr>
          <w:ilvl w:val="0"/>
          <w:numId w:val="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>
        <w:rPr>
          <w:color w:val="000000"/>
          <w:sz w:val="24"/>
          <w:szCs w:val="24"/>
        </w:rPr>
        <w:t> bus</w:t>
      </w:r>
      <w:r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gov</w:t>
      </w:r>
      <w:r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</w:rPr>
        <w:t>ru</w:t>
      </w:r>
      <w:r>
        <w:rPr>
          <w:color w:val="000000"/>
          <w:sz w:val="24"/>
          <w:szCs w:val="24"/>
          <w:lang w:val="ru-RU"/>
        </w:rPr>
        <w:t>;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исправления (добавление новых записей) в электронных базах данных не допускаются.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 В целях обеспечения сохранности электронных данных бухучета и отчетности: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 сервере ежедневно производится сохранение резервных копий базы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«Бухгалтерия», еженедельно – «Зарплата»;</w:t>
      </w:r>
    </w:p>
    <w:p>
      <w:pPr>
        <w:pStyle w:val="Normal"/>
        <w:numPr>
          <w:ilvl w:val="0"/>
          <w:numId w:val="3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 итогам квартала и отчетного года после сдачи отчетности производится запись копии базы данных на внешний носитель – </w:t>
      </w:r>
      <w:r>
        <w:rPr>
          <w:color w:val="000000"/>
          <w:sz w:val="24"/>
          <w:szCs w:val="24"/>
        </w:rPr>
        <w:t>CD</w:t>
      </w:r>
      <w:r>
        <w:rPr>
          <w:color w:val="000000"/>
          <w:sz w:val="24"/>
          <w:szCs w:val="24"/>
          <w:lang w:val="ru-RU"/>
        </w:rPr>
        <w:t>-диск, который хранится в сейфе главного бухгалтера;</w:t>
      </w:r>
    </w:p>
    <w:p>
      <w:pPr>
        <w:pStyle w:val="Normal"/>
        <w:numPr>
          <w:ilvl w:val="0"/>
          <w:numId w:val="3"/>
        </w:numPr>
        <w:spacing w:before="280" w:after="280"/>
        <w:ind w:left="780" w:right="180" w:hanging="36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Основание: пункт 19 Инструкции к Единому плану счетов № 157н, пункт 33 СГС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III</w:t>
      </w:r>
      <w:r>
        <w:rPr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Порядок и сроки передачи первичных учетных документов для отражения в бухучете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устанавливаются в соответствии с приложением 17 к настоящей учетной политике.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Основание: пункт 22 СГС «Концептуальные основы бухучета и отчетности», подпункт «д»  пункта 9 СГС «Учетная политика, оценочные значения и ошибки».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При проведении хозяйственных операций, для оформления которых не предусмотрены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типовые формы первичных документов, используются: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самостоятельно разработанные формы, которые приведены в приложении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12;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унифицированные формы, дополненные необходимыми реквизитами.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пункты 25–26 СГС «Концептуальные основы бухучета и отчетности», подпункт  «г» пункта 9 СГС «Учетная политика, оценочные значения и ошибки».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Право подписи учетных документов предоставлено должностным лицам,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перечисленным в приложении 13.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 Учреждение использует унифицированные формы первичных документов,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перечисленные в приложении 1 к приказу № 52н. При необходимости формы регистров,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которые не унифицированы, разрабатываются самостоятельно.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157н, подпункт «г» пункта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9 СГС «Учетная политика, оценочные значения и ошибки».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5. При поступлении документов на иностранном языке построчный перевод таких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документов на русский язык осуществляется сотрудником учреждения, который владеет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иностранным языком. В случае невозможности перевода документа переводы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составляются на отдельном документе, заверяются подписью сотрудника, составившего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перевод, и прикладываются к первичным документам.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В случае невозможности перевода документа привлекается профессиональный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переводчик. Перевод денежных (финансовых) документов заверяется нотариусом.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Если документы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иностранном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языке составлены по типовой форме (идентичны по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количеству граф, их названию, расшифровке работ и т.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д. и отличаются только суммой),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то в отношении их постоянных показателей достаточно однократного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перевода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 русский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язык. Впоследствии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переводить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нужно только изменяющиеся показатели данного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первичного документа.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Основание: пункт 31 СГС «Концептуальные основы бухучета и отчетности».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 Формирование электронных регистров бухучета осуществляется в следующем порядке: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– в регистрах в хронологическом порядке систематизируются первичные (сводные)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учетные документы по датам совершения операций, дате принятия к учету первичного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документа;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журнал регистрации приходных и расходных ордеров составляется ежемесячно,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последний рабочий день месяца;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инвентарная карточка учета основных средств оформляется при принятии объекта к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 модернизации, реконструкции,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консервации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д.) и при выбытии. При отсутствии указанных событий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– ежегодно, на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последний рабочий день года, со сведениями о начисленной амортизации;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инвентарная карточка группового учета основных средств оформляется при принятии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объектов к учету, по мере внесения изменений (данных о переоценке, модернизации,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реконструкции, консервации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т.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д.) и при выбытии;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опись инвентарных карточек по учету основных средств, инвентарный список основных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средств, реестр карточек заполняются ежегодно, в последний день года;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книга учета бланков строгой отчетности, книга аналитического учета депонированной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зарплаты и стипендий заполняются ежемесячно, в последний день месяца;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журналы операций, главная книга заполняются ежемесячно;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другие регистры, не указанные выше, заполняются по мере необходимости, если иное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не установлено законодательством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РФ.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7. Журнал операций расчетов по оплате труда, денежному довольствию и стипендиям (ф.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0504071) ведется раздельно по кодам финансового обеспечения деятельности 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раздельно по счетам: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КБК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1.302.11.000 «Расчеты по заработной плате» и КБК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1.302.13.000 «Расчеты по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начислениям на выплаты по оплате труда»;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КБК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1.302.12.000 «Расчеты по прочим несоциальным выплатам персоналу в денежной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форме» и КБК 1.302.14.000 «Расчеты по прочим несоциальным выплатам персоналу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натуральной форме»;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КБК Х.302.66.000 «Расчеты по социальным пособиям и компенсациям персоналу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денежной форме» и КБК Х.302.67.000 «Расчеты по социальным компенсациям персоналу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в натуральной форме»;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КБК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1.302.96.000 «Расчеты по иным выплатам текущего характера физическим лицам».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257 Инструкции к Единому плану счетов № 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 Журналам операций присваиваются номера согласно приложению 11. Журналы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операций подписываются главным бухгалтером и бухгалтером, составившим журнал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операций.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9. Первичные и сводные учетные документы, бухгалтерские регистры составляются в 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форме электронного документа, подписанного квалифицированной электронной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подписью. При отсутствии возможности составить документ, регистр в электронном виде,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он может быть составлен на бумажном носителе и заверен собственноручной подписью.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Список сотрудников, имеющих право подписи электронных документов и регистров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бухучета, утверждается отдельным приказом.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Основание: часть 5 статьи 9 Закона от 06.12.2011 № 402-ФЗ, пункт 11 Инструкции к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Единому плану счетов № 157н, пункт 32 СГС «Концептуальные основы бухучета 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отчетности», Методические указания, утвержденные приказом Минфина от 30.03.2015 №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52н, статья 2 Закона от 06.04.2011 № 63-ФЗ.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10.Электронные документы, подписанные квалифицированной электронной подписью,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хранятся в электронном виде на съемных носителях информации в соответствии с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порядком учета и хранения съемных носителей информации. При этом ведется журнал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учета и движения электронных носителей. Журнал должен быть пронумерован,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прошнурован и скреплен печатью учреждения. Ведение и хранение журнала возлагается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приказом руководителя на ответственного сотрудника учреждения.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Основание: пункт 33 СГС «Концептуальные основы бухучета и отчетности», пункт 14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Инструкции к Единому плану счетов № 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11. В деятельности учреждения используются следующие бланки строгой отчетности: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- сертификат на областной материнский (семейный )капитал;</w:t>
      </w:r>
    </w:p>
    <w:p>
      <w:pPr>
        <w:pStyle w:val="Normal"/>
        <w:spacing w:before="280" w:after="280"/>
        <w:rPr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- удостоверения ;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Учет бланков ведется по стоимости их приобретения.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Основание: пункт 337 Инструкции к Единому плану счетов № 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12. Перечень должностей сотрудников, ответственных за учет, хранение и выдачу бланков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строгой отчетности, приведен в приложении 5.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13. Особенности применения первичных документов: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13.1. 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13.2. При ремонте нового оборудования, неисправность которого была выявлена при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монтаже, составляется акт о выявленных дефектах оборудования по форме № ОС-16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(ф.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0306008).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13.3. В табеле учета использования рабочего времени (ф. 0504421) регистрируются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случаи отклонений от нормального использования рабочего времени, установленного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Правилами трудового распорядка.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Табель учета использования рабочего времени (ф. 0504421) дополнен условными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обозначениями.</w:t>
      </w:r>
    </w:p>
    <w:tbl>
      <w:tblPr>
        <w:tblW w:w="6825" w:type="dxa"/>
        <w:jc w:val="lef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836"/>
        <w:gridCol w:w="988"/>
      </w:tblGrid>
      <w:tr>
        <w:trPr/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>
        <w:trPr/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выходные дни (оплачиваемые)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</w:t>
            </w:r>
          </w:p>
        </w:tc>
      </w:tr>
      <w:tr>
        <w:trPr/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Заключение под стражу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ЗС</w:t>
            </w:r>
          </w:p>
        </w:tc>
      </w:tr>
      <w:tr>
        <w:trPr/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Нахождение в пути к месту вахты и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ДП</w:t>
            </w:r>
          </w:p>
        </w:tc>
      </w:tr>
      <w:tr>
        <w:trPr/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Расширено применение буквенного кода «Г» – Выполнение государственных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обязанностей – для случаев выполнения сотрудниками общественных обязанностей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(например, для регистрации дней медицинского освидетельствования перед сдачей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крови, дней сдачи крови, дней, когда сотрудник отсутствовал по вызову в военкомат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военные сборы, по вызову в суд и другие госорганы в качестве свидетеля и пр.).</w:t>
      </w:r>
    </w:p>
    <w:p>
      <w:pPr>
        <w:pStyle w:val="Normal"/>
        <w:spacing w:before="280" w:after="280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IV</w:t>
      </w:r>
      <w:r>
        <w:rPr>
          <w:b/>
          <w:bCs/>
          <w:color w:val="000000"/>
          <w:sz w:val="24"/>
          <w:szCs w:val="24"/>
          <w:lang w:val="ru-RU"/>
        </w:rPr>
        <w:t>. План счетов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Бюджетный учет ведется с использованием Рабочего плана счетов (приложение 6),  разработанного в соответствии с Инструкцией к Единому плану счетов № 157н, Инструкцией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162н.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пункты 2 и 6 Инструкции к Единому плану счетов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157н, пункт 19 СГС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«Концептуальные основы бухучета и отчетности», подпункт «б» пункта 9 СГС «Учетная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политика, оценочные значения и ошибки».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Кроме забалансовых счетов, утвержденных в Инструкции к Единому плану счетов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157н,  учреждение применяет дополнительные забалансовые счета, утвержденные в Рабочем  плане счетов (приложении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6).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332 Инструкции к Единому плану счетов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157н, пункт 19 СГС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>
      <w:pPr>
        <w:pStyle w:val="Normal"/>
        <w:spacing w:before="280" w:after="280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  <w:lang w:val="ru-RU"/>
        </w:rPr>
        <w:t>. Учет отдельных видов имущества и обязательств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Бюджетный учет ведется по первичным документам, которые проверены сотрудниками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бухгалтерии в соответствии с Положением о внутреннем финансовом контроле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(приложение 14).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Основание: пункт 3 Инструкции к Единому плану счетов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157н, пункт 23 СГС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Для случаев, которые не установлены в федеральных стандартах и других нормативно-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правовых актах, регулирующих бухучет, метод определения справедливой стоимости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выбирает комиссия учреждения по поступлению и выбытию активов».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54 СГС «Концептуальные основы бухучета и отчетности».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В случае если для показателя, необходимого для ведения бухгалтерского учета, не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установлен метод оценки в законодательстве и в настоящей учетной политике, то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бухгалтера.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Основные средства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месяцев, а также штампы, печати и инвентарь. Перечень объектов, которые относятся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группе «Инвентарь производственный и хозяйственный», приведен в приложении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7.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объединяются объекты имущества несущественной стоимости, имеющие одинаковые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сроки полезного и ожидаемого использования: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объекты библиотечного фонда;</w:t>
      </w:r>
    </w:p>
    <w:p>
      <w:pPr>
        <w:pStyle w:val="Normal"/>
        <w:numPr>
          <w:ilvl w:val="0"/>
          <w:numId w:val="4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полки;</w:t>
      </w:r>
    </w:p>
    <w:p>
      <w:pPr>
        <w:pStyle w:val="Normal"/>
        <w:numPr>
          <w:ilvl w:val="0"/>
          <w:numId w:val="4"/>
        </w:numPr>
        <w:spacing w:before="280" w:after="280"/>
        <w:ind w:left="780" w:right="180" w:hanging="36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компьютерное и периферийное оборудование: системные блоки, мониторы,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компьютерные мыши, клавиатуры, принтеры, сканеры, колонки, акустические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системы, микрофоны, веб-камеры, устройства захвата видео, внешние ТВ-тюнеры,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внешние накопители на жестких дисках;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000 руб. за один имущественный объект.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Необходимость объединения и конкретный перечень объединяемых объектов определяет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комиссия учреждения по поступлению и выбытию активов.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2.3. Уникальный инвентарный номер состоит из десяти знаков и присваивается в порядке: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1-й разряд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– амортизационная группа, к которой отнесен объект при принятии к учету (при  отнесении инвентарного объекта к 10-й амортизационной группе в данном разряде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проставляется «0»);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2–4-й разряды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– код объекта учета синтетического счета в Плане счетов бюджетного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учета (приложение 1 к приказу Минфина от 06.12.2010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162н);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5–6-й разряды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– код группы и вида синтетического счета Плана счетов бюджетного учета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(приложение 1 к приказу Минфина от 06.12.2010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162н);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7–10-й разряды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– порядковый номер нефинансового актива.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9 СГС «Основные средства», пункт 46 Инструкции к Единому плану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счетов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2.4. Присвоенный объекту инвентарный номер обозначается путем нанесения номера на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инвентарный объект краской или водостойким маркером.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В случае если объект является сложным (комплексом конструктивно сочлененных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предметов), инвентарный номер обозначается на каждом составляющем элементе тем же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способом, что и на сложном объекте.</w:t>
      </w:r>
    </w:p>
    <w:p>
      <w:pPr>
        <w:pStyle w:val="Normal"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2.5. Затраты по замене отдельных составных частей объекта основных средств, в том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числе при капитальном ремонте, включаются в момент их возникновения в стоимость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объекта. Одновременно с его стоимости списывается в текущие расходы стоимость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заменяемых (выбываемых) составных частей. </w:t>
      </w:r>
      <w:r>
        <w:rPr>
          <w:color w:val="000000"/>
          <w:sz w:val="24"/>
          <w:szCs w:val="24"/>
        </w:rPr>
        <w:t>Данное правило применяется к следующим</w:t>
      </w:r>
      <w:r>
        <w:rPr/>
        <w:br/>
      </w:r>
      <w:r>
        <w:rPr>
          <w:color w:val="000000"/>
          <w:sz w:val="24"/>
          <w:szCs w:val="24"/>
        </w:rPr>
        <w:t xml:space="preserve"> группам основных средств: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машины и оборудование;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транспортные средства;</w:t>
      </w:r>
    </w:p>
    <w:p>
      <w:pPr>
        <w:pStyle w:val="Normal"/>
        <w:numPr>
          <w:ilvl w:val="0"/>
          <w:numId w:val="5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инвентарь производственный и хозяйственный;</w:t>
      </w:r>
    </w:p>
    <w:p>
      <w:pPr>
        <w:pStyle w:val="Normal"/>
        <w:numPr>
          <w:ilvl w:val="0"/>
          <w:numId w:val="5"/>
        </w:numPr>
        <w:spacing w:before="280" w:after="280"/>
        <w:ind w:left="780" w:right="18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многолетние насаждения;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>
      <w:pPr>
        <w:pStyle w:val="Normal"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2.6. В случае частичной ликвидации или разукомплектации объекта основного средства,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если стоимость ликвидируемых (разукомплектованных) частей не выделена в документах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поставщика, стоимость таких частей определяется пропорционально следующему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показателю </w:t>
      </w:r>
      <w:r>
        <w:rPr>
          <w:color w:val="000000"/>
          <w:sz w:val="24"/>
          <w:szCs w:val="24"/>
        </w:rPr>
        <w:t>(в порядке убывания важности):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площади;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объему;</w:t>
      </w:r>
    </w:p>
    <w:p>
      <w:pPr>
        <w:pStyle w:val="Normal"/>
        <w:numPr>
          <w:ilvl w:val="0"/>
          <w:numId w:val="6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весу;</w:t>
      </w:r>
    </w:p>
    <w:p>
      <w:pPr>
        <w:pStyle w:val="Normal"/>
        <w:numPr>
          <w:ilvl w:val="0"/>
          <w:numId w:val="6"/>
        </w:numPr>
        <w:spacing w:before="280" w:after="280"/>
        <w:ind w:left="780" w:right="180" w:hanging="36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иному показателю, установленному комиссией по поступлению и выбытию активов.</w:t>
      </w:r>
    </w:p>
    <w:p>
      <w:pPr>
        <w:pStyle w:val="Normal"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2.7. Затраты на создание активов при проведении регулярных осмотров на предмет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наличия дефектов, являющихся обязательным условием их эксплуатации, а также при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проведении ремонтов формируют объем произведенных капитальных вложений с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дальнейшим признанием в стоимости объекта основных средств. Одновременно учтенная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ранее в стоимости объекта основных средств сумма затрат на проведение предыдущего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ремонта подлежит списанию в расходы текущего периода. </w:t>
      </w:r>
      <w:r>
        <w:rPr>
          <w:color w:val="000000"/>
          <w:sz w:val="24"/>
          <w:szCs w:val="24"/>
        </w:rPr>
        <w:t>Данное правило применяется к</w:t>
      </w:r>
      <w:r>
        <w:rPr/>
        <w:br/>
      </w:r>
      <w:r>
        <w:rPr>
          <w:color w:val="000000"/>
          <w:sz w:val="24"/>
          <w:szCs w:val="24"/>
        </w:rPr>
        <w:t xml:space="preserve"> следующим группам основных средств:</w:t>
      </w:r>
    </w:p>
    <w:p>
      <w:pPr>
        <w:pStyle w:val="Normal"/>
        <w:numPr>
          <w:ilvl w:val="0"/>
          <w:numId w:val="7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машины и оборудование;</w:t>
      </w:r>
    </w:p>
    <w:p>
      <w:pPr>
        <w:pStyle w:val="Normal"/>
        <w:numPr>
          <w:ilvl w:val="0"/>
          <w:numId w:val="7"/>
        </w:numPr>
        <w:spacing w:before="280" w:after="280"/>
        <w:ind w:left="780" w:right="18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транспортные средства;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методом уменьшаемого остатка с применением коэффициента 2 – на основные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средства группы «Транспортные средства», а также на компьютерное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оборудование и сотовые телефоны;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>линейным методом – на остальные объекты основных средств.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2.9. В случаях когда установлены одинаковые сроки полезного использования и метод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расчета амортизации всех структурных частей единого объекта основных средств,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учреждение объединяет такие части для определения суммы амортизации.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40 СГС «Основные средства».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 дату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переоценки пересчитывается пропорционально изменению первоначальной стоимости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объекта таким образом, чтобы его остаточная стоимость после переоценки равнялась его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переоцененной стоимости. При этом балансовая стоимость и накопленная амортизация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увеличиваются (умножаются) на одинаковый коэффициент таким образом, чтобы при их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суммировании получить переоцененную стоимость на дату проведения переоценки.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41 СГС «Основные средства».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 поступлению и выбытию в соответствии с пунктом 35 СГС «Основные средства».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Состав комиссии по поступлению и выбытию активов установлен в приложении 1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настоящей Учетной политики.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2.12. Основные средства стоимостью до 10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000 руб. включительно, находящиеся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эксплуатации, учитываются на забалансовом счете 21по балансовой стоимости.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Основание: пункт 39 СГС «Основные средства», пункт 373 Инструкции к Единому плану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счетов № 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2.13. Локально-вычислительная сеть (ЛВС) и охранно-пожарная сигнализация (ОПС) как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отдельные инвентарные объекты не учитываются. Отдельные элементы ЛВС и ОПС,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средства», учитываются как отдельные основные средства. Элементы ЛВС или ОПС, для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которых установлен одинаковый срок полезного использования, учитываются как единый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инвентарный объект в порядке, установленном в пункте 2.2 раздела </w:t>
      </w:r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  <w:lang w:val="ru-RU"/>
        </w:rPr>
        <w:t xml:space="preserve"> настоящей Учетной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политики.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2.14. Расходы на доставку нескольких имущественных объектов распределяются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первоначальную стоимость этих объектов пропорционально их стоимости, указанной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договоре поставки.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2.15. Передача в пользование объектов, которые содержатся за счет учреждения,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отражается как внутреннее перемещение. Учет таких объектов ведется на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дополнительном забалансовом счете 43П «Имущество, переданное в пользование, – не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объект аренды».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Материальные запасы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3.1. Учреждение учитывает в составе материальных запасов материальные объекты,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указанные в пунктах 98–99 Инструкции к Единому плану счетов № 157н, а также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производственный и хозяйственный инвентарь, перечень которого приведен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приложении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7.</w:t>
      </w:r>
    </w:p>
    <w:p>
      <w:pPr>
        <w:pStyle w:val="Normal"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3.2. Единица учета материальных запасов в учреждении – номенклатурная (реестровая) единица. </w:t>
      </w:r>
      <w:r>
        <w:rPr>
          <w:color w:val="000000"/>
          <w:sz w:val="24"/>
          <w:szCs w:val="24"/>
        </w:rPr>
        <w:t>Исключение:</w:t>
      </w:r>
    </w:p>
    <w:p>
      <w:pPr>
        <w:pStyle w:val="Normal"/>
        <w:numPr>
          <w:ilvl w:val="0"/>
          <w:numId w:val="8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>
      <w:pPr>
        <w:pStyle w:val="Normal"/>
        <w:numPr>
          <w:ilvl w:val="0"/>
          <w:numId w:val="8"/>
        </w:numPr>
        <w:spacing w:before="280" w:after="280"/>
        <w:ind w:left="780" w:right="18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материальные запасы с ограниченным сроком годности – продукты питания, медикаменты и другие, а также товары для продажи. </w:t>
      </w:r>
      <w:r>
        <w:rPr>
          <w:color w:val="000000"/>
          <w:sz w:val="24"/>
          <w:szCs w:val="24"/>
        </w:rPr>
        <w:t>Единица учета таких материальных запасов – партия.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Решение о применении единиц учета «однородная (реестровая) группа запасов» и «партия» принимает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бухгалтер на основе своего профессионального суждения.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8 СГС «Запасы».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3.3. Списание материальных запасов производится по средней фактической стоимости.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108 Инструкции к Единому плану счетов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3.4. Нормы на расходы горюче-смазочных материалов (ГСМ) разрабатываются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специализированной организацией и утверждаются приказом руководителя учреждения.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Ежегодно приказом руководителя утверждаются период применения зимней надбавки 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нормам расхода ГСМ и ее величина.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ГСМ списывается на расходы по фактическому расходу на основании путевых листов, но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не выше норм, установленных приказом руководителя учреждения.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3.5 Выдача в эксплуатацию на нужды учреждения канцелярских принадлежностей,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лекарственных препаратов, запасных частей и хозяйственных материалов оформляется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Ведомостью выдачи материальных ценностей на нужды учреждения (ф. 0504210). Эта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ведомость является основанием для списания материальных запасов.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3.6. Мягкий и хозяйственный инвентарь, посуда списываются по Акту о списании мягкого и  хозяйственного инвентаря (ф. 0504143).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материальных запасов (ф. 0504230).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3.7. Учет на забалансовом счете 09 «Запасные части к транспортным средствам,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выданные взамен изношенных» ведется в условной оценке 1 руб. за 1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шт. Учету подлежат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запасные части и другие комплектующие, которые могут быть использованы на других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автомобилях (нетипизированные запчасти и комплектующие), такие как: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автомобильные шины;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колесные диски;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аккумуляторы;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наборы автоинструмента;</w:t>
      </w:r>
    </w:p>
    <w:p>
      <w:pPr>
        <w:pStyle w:val="Normal"/>
        <w:numPr>
          <w:ilvl w:val="0"/>
          <w:numId w:val="9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аптечки;</w:t>
      </w:r>
    </w:p>
    <w:p>
      <w:pPr>
        <w:pStyle w:val="Normal"/>
        <w:numPr>
          <w:ilvl w:val="0"/>
          <w:numId w:val="9"/>
        </w:numPr>
        <w:spacing w:before="280" w:after="280"/>
        <w:ind w:left="780" w:right="18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огнетушители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Аналитический учет по счету ведется в разрезе автомобилей и материально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ответственных лиц.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Поступление на счет 09 отражается: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при установке (передаче материально ответственному лицу) соответствующих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запчастей после списания со счета КБК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1.105.36.44Х «Прочие материальные запасы –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иное движимое имущество учреждения»;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при безвозмездном поступлении автомобиля от государственных (муниципальных)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учреждений с документальной передачей остатков забалансового счета 09.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 безвозмездном получении от государственных (муниципальных) учреждений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запасных частей, учитываемых передающей стороной на счете 09, но не подлежащих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учету на указанном счете в соответствии с настоящей учетной политикой, оприходование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запчастей на счет 09 не производится.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Внутреннее перемещение по счету отражается: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при передаче на другой автомобиль;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при передаче другому материально ответственному лицу вместе с автомобилем.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Выбытие со счета 09 отражается: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при списании автомобиля по установленным основаниям;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при установке новых запчастей взамен непригодных к эксплуатации.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Основание: пункты 349–350 Инструкции к Единому плану счетов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3.8. Фактическая стоимость материальных запасов, полученных в результате ремонта,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разборки, утилизации (ликвидации) основных средств или иного имущества, определяется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исходя из: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их справедливой стоимости на дату принятия к бухгалтерскому учету, рассчитанной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методом рыночных цен;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сумм, уплачиваемых учреждением за доставку материальных запасов, приведение их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состояние, пригодное для использования.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пункты 52–60 СГС «Концептуальные основы бухучета и отчетности».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3.9.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18 СГС «Запасы».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3.10.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19 СГС «Запасы».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 Стоимость безвозмездно полученных нефинансовых активов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4.1. Данные о справедливой стоимости безвозмездно полученных нефинансовых активов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должны быть подтверждены документально: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>справками (другими подтверждающими документами) Росстата;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>прайс-листами заводов-изготовителей;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>справками (другими подтверждающими документами) оценщиков;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>информацией, размещенной в СМИ, и т. д.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экспертным путем.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 Расчеты по доходам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5.1. Учреждение осуществляет бюджетные полномочия администратора доходов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бюджета. Порядок осуществления полномочий администратора доходов бюджета определяется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соответствии с законодательством России и нормативными документами ведомства.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Перечень администрируемых доходов утверждается главным администратором доходов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бюджета (вышестоящим ведомством).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 Расчеты с подотчетными лицами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6.1. Денежные средства выдаются под отчет на основании приказа руководителя или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служебной записки, согласованной с руководителем. Выдача денежных средств под отчет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производится путем: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выдачи из кассы. При этом выплаты подотчетных сумм сотрудникам производятся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течение трех рабочих дней, включая день получения денег в банке;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перечисления на зарплатную карту материально ответственного лица.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Способ выдачи денежных средств должен указывается в служебной записке или приказе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руководителя.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6.2. Учреждение выдает денежные средства под отчет штатным сотрудникам, а также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лицам, которые не состоят в штате, на основании отдельного приказа руководителя.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Расчеты по выданным суммам проходят в порядке, установленном для штатных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сотрудников.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6.3. Предельная сумма выдачи денежных средств под отчет (за исключением расходов на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командировки) устанавливается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размере 20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000 (двадцать тысяч)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руб.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 основании распоряжения руководителя в исключительных случаях сумма может быть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увеличена (но не более лимита расчетов наличными средствами между юридическими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лицами) в соответствии с указанием Центрального банка.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6 указания ЦБ от 07.10.2013 № 3073-У.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6.4. Денежные средства выдаются под отчет на хозяйственные нужды на срок, который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сотрудник указал в заявлении на выдачу денежных средств под отчет, но не более пяти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рабочих дней. По истечении этого срока сотрудник должен отчитаться в течение трех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рабочих дней.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6.5. При направлении сотрудников учреждения в служебные командировки на территории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России расходы на них возмещаются в соответствии с постановлением Правительства от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02.10.2002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729.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Возмещение расходов на служебные командировки, превышающих размер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установленный Правительством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РФ, производится при наличии экономии бюджетных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средств по фактическим расходам с разрешения руководителя учреждения,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оформленного приказом.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пункты 2, 3 постановления Правительства от 02.10.2002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729.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Порядок оформления служебных командировок и возмещения командировочных расходов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приведен в приложении 8.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6.6. По возвращении из командировки сотрудник представляет авансовый отчет об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израсходованных суммах в течение трех рабочих дней.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Основание: пункт 26 постановления Правительства от 13.10.2008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749.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6.7. Предельные сроки отчета по выданным доверенностям на получение материальных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ценностей устанавливаются следующие: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в течение 10 календарных дней с момента получения;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в течение трех рабочих дней с момента получения материальных ценностей.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Доверенности выдаются штатным сотрудникам, с которыми заключен договор о полной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материальной ответственности.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6.8. Авансовые отчеты брошюруются в хронологическом порядке в последний день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отчетного месяца.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7. Расчеты с дебиторами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7.1. Учреждение администрирует поступления в бюджет на счете КБК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1.210.02.000 по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правилам, установленным главным администратором доходов бюджета.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7.2. Излишне полученные от плательщиков средства возвращаются на основании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заявления плательщика и акта сверки с плательщиком.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7.3. Задолженность дебиторов в виде возмещения эксплуатационных и коммунальных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расходов отражается в учете на основании выставленного арендатору счета, счетов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поставщиков (подрядчиков), Бухгалтерской справки (ф. 0504833).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 Расчеты по обязательствам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8.1. К счету КБК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1.303.05.000 «Расчеты по прочим платежам в бюджет» применяются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дополнительные аналитические коды: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 – «Государственная пошлина» (КБК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1.303.15.000);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2 – «Транспортный налог» (КБК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1.303.25.000);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3 – «Пени, штрафы, санкции по налоговым платежам» (КБК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1.303.35.000);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8.2. Аналитический учет расчетов по пособиям и иным социальным выплатам ведется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разрезе физических лиц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– получателей социальных выплат.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8.3. Аналитический учет расчетов по оплате труда ведется в разрезе сотрудников и других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физических лиц, с которыми заключены гражданско-правовые договоры.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9. Дебиторская и кредиторская задолженность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9.1. Дебиторская задолженность списывается с учета после того, как комиссия по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поступлению и выбытию активов признает ее сомнительной или безнадежной к взысканию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в порядке, утвержденном положением о признании дебиторской задолженности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сомнительной и безнадежной к взысканию.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«Доходы».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9.2. Кредиторская задолженность, не востребованная кредитором, списывается на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финансовый результат на основании решения инвентаризационной комиссии о признании задолженности невостребованной.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 забалансовом счете 20 «Задолженность, не востребованная кредиторами».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 забалансового учета задолженность списывается на основании решения инвентаризационной комиссии учреждения: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– </w:t>
      </w:r>
      <w:r>
        <w:rPr>
          <w:color w:val="000000"/>
          <w:sz w:val="24"/>
          <w:szCs w:val="24"/>
          <w:lang w:val="ru-RU"/>
        </w:rPr>
        <w:t>по истечении пяти лет отражения задолженности на забалансовом учете;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по завершении срока возможного возобновления процедуры взыскания задолженности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согласно действующему законодательству;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при наличии документов, подтверждающих прекращение обязательства в связи со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смертью (ликвидацией) контрагента.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Кредиторская задолженность списывается с баланса отдельно по каждому обязательству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(кредитору).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10. Финансовый результат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10.1. Учреждение все расходы производит в соответствии с утвержденной на отчетный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год бюджетной сметой и в пределах установленных норм:</w:t>
      </w:r>
    </w:p>
    <w:p>
      <w:pPr>
        <w:pStyle w:val="Normal"/>
        <w:numPr>
          <w:ilvl w:val="0"/>
          <w:numId w:val="10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на междугородние переговоры, услуги по доступу в Интернет – по фактическому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расходу;</w:t>
      </w:r>
    </w:p>
    <w:p>
      <w:pPr>
        <w:pStyle w:val="Normal"/>
        <w:numPr>
          <w:ilvl w:val="0"/>
          <w:numId w:val="10"/>
        </w:numPr>
        <w:spacing w:before="280" w:after="280"/>
        <w:ind w:left="780" w:right="180" w:hanging="36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пользование услугами сотовой связи – по лимиту, утвержденному распоряжением руководителя учреждения.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10.2. В составе расходов будущих периодов на счете КБК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1.401.50.000 «Расходы будущих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периодов» отражаются расходы по: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страхованию имущества, гражданской ответственности;</w:t>
      </w:r>
    </w:p>
    <w:p>
      <w:pPr>
        <w:pStyle w:val="Normal"/>
        <w:numPr>
          <w:ilvl w:val="0"/>
          <w:numId w:val="11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приобретению неисключительного права пользования нематериальными активами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 течение нескольких отчетных периодов;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финансового года равномерно по 1/12 за месяц в течение периода, к которому они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относятся.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 договорам страхования, а также договорам неисключительного права пользования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период, к которому относятся расходы, равен сроку действия договора. По другим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расходам, которые относятся к будущим периодам, длительность периода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устанавливается руководителем учреждения в приказе.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10.3. В случае заключения лицензионного договора на право использования результата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интеллектуальной деятельности или средства индивидуализации единовременные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платежи за право включаются в расходы будущих периодов. Такие расходы списываются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на финансовый результат текущего периода ежемесячно в последний день месяца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течение срока действия договора.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66 Инструкции к Единому плану счетов № 157н.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10.4 </w:t>
      </w:r>
      <w:r>
        <w:rPr>
          <w:i/>
          <w:iCs/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>В учреждении создаются: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резерв на предстоящую оплату отпусков. Порядок расчета резерва приведен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приложении 15;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резерв по претензионным требованиям – в случае, когда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учреждение является стороной судебного разбирательства. Величина резерва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устанавливается в размере претензии, предъявленной учреждению в судебном иске, либо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 претензионных документах досудебного разбирательства. В случае если претензии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отозваны или не признаны судом, сумма резерва списывается с учета методом «красное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сторно»;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– резерв по гарантийному ремонту.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пункты 302, 302.1 Инструкции к Единому плану счетов № 157н, пункты 7, 21 СГС  «Резервы».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11. Санкционирование расходов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Принятие бюджетных (денежных) обязательств к учету осуществлять в пределах лимитов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бюджетных обязательств в порядке, приведенном в приложении 9.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12. События после отчетной даты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Признание в учете и раскрытие в бюджетной отчетности событий после отчетной даты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осуществляется в порядке, приведенном в приложении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16.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13. Непроизведенные активы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Объекты непроизведенных активов, не приносящие учреждению экономические выгоды, не имеющие полезного потенциала и в отношении которых в дальнейшем не предусматривается получение экономических выгод, учитываются на забалансовом счете 60 «Непроизведенные активы без потенциала».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7 СГС «Непроизведенные активы».</w:t>
      </w:r>
    </w:p>
    <w:p>
      <w:pPr>
        <w:pStyle w:val="Normal"/>
        <w:spacing w:before="280" w:after="280"/>
        <w:jc w:val="center"/>
        <w:rPr>
          <w:b/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</w:t>
      </w:r>
      <w:r>
        <w:rPr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Инвентаризацию имущества и обязательств (в т. ч. числящихся на забалансовых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счетах), а также финансовых результатов (в т. ч. расходов будущих периодов и резервов)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проводит постоянно действующая инвентаризационная комиссия.Порядок и график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проведения инвентаризации приведены в приложении 10.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В отдельных случаях (при смене материально ответственных лиц, выявлении фактов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хищения, стихийных бедствиях и т.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д.) инвентаризацию может проводить специально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созданная рабочая комиссия, состав которой утверждается отельным приказом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руководителя.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>
        <w:rPr>
          <w:color w:val="000000"/>
          <w:sz w:val="24"/>
          <w:szCs w:val="24"/>
        </w:rPr>
        <w:t>VIII</w:t>
      </w:r>
      <w:r>
        <w:rPr>
          <w:color w:val="000000"/>
          <w:sz w:val="24"/>
          <w:szCs w:val="24"/>
          <w:lang w:val="ru-RU"/>
        </w:rPr>
        <w:t xml:space="preserve"> СГС «Концептуальные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основы 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Руководителями обособленных структурных подразделений создаются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инвентаризационные комиссии из числа сотрудников подразделения приказом по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подразделению.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</w:t>
      </w:r>
      <w:r>
        <w:rPr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Внутренний финансовый контроль в учреждении осуществляет комиссия. Помимо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комиссии постоянный текущий контроль в ходе своей деятельности осуществляют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рамках своих полномочий: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руководитель учреждения, его заместители;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главный бухгалтер, сотрудники бухгалтерии;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начальник планово-экономического отдела, сотрудники отдела;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начальник юридического отдела, сотрудники отдела;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иные должностные лица учреждения в соответствии со своими обязанностями.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Положение о внутреннем финансовом контроле и график проведения внутренних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проверок финансово-хозяйственной деятельности приведены в приложении 14.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Основание: пункт 6 Инструкции к Единому плану счетов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157н.</w:t>
      </w:r>
    </w:p>
    <w:p>
      <w:pPr>
        <w:pStyle w:val="Normal"/>
        <w:spacing w:before="280" w:after="280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VIII</w:t>
      </w:r>
      <w:r>
        <w:rPr>
          <w:b/>
          <w:bCs/>
          <w:color w:val="000000"/>
          <w:sz w:val="24"/>
          <w:szCs w:val="24"/>
          <w:lang w:val="ru-RU"/>
        </w:rPr>
        <w:t>. Бюджетная отчетность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Бюджетная отчетность составляется на основании аналитического и синтетического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учета по формам, в объеме и в сроки, установленные вышестоящей организацией 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бюджетным законодательством (приказ Минфина от 28.12.2010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191н). Бюджетная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отчетность представляется главному распорядителю бюджетных средств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установленные им сроки.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Для обособленных структурных подразделений, наделенных частичными полномочиями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юридического лица, устанавливаются следующие сроки представления бюджетной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отчетности: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квартальные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– до 10-го числа месяца, следующего за отчетным периодом;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– годовой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– до 17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января года, следующего за отчетным годом.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Обособленные структурные подразделения представляют отчетность главному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бухгалтеру учреждения.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определяется прямым методом и рассчитывается как разница между всеми денежными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притоками учреждения от всех видов деятельности и их оттоками.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Основание: пункт 19 СГС «Отчет о движении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денежных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средств».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Бюджетная отчетность формируется и хранится в виде электронного документа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информационной системе «Бюджет». Бумажная копия комплекта отчетности хранится у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главного бухгалтера.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Основание: часть 7.1 статьи 13 Закона от 06.12.2011 №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402-ФЗ.</w:t>
      </w:r>
    </w:p>
    <w:p>
      <w:pPr>
        <w:pStyle w:val="Normal"/>
        <w:spacing w:before="280" w:after="280"/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IX</w:t>
      </w:r>
      <w:r>
        <w:rPr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>
        <w:rPr>
          <w:lang w:val="ru-RU"/>
        </w:rPr>
        <w:br/>
      </w:r>
      <w:r>
        <w:rPr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– увольняемые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лица) они обязаны в рамках передачи дел заместителю, новому должностному лицу,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иному уполномоченному должностному лицу учреждения (далее – уполномоченное лицо)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передать документы бухгалтерского учета, а также печати и штампы, хранящиеся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бухгалтерии.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руководителя учреждения или Комитета образования, осуществляющего функции 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полномочия учредителя (далее – учредитель).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комиссии, создаваемой в учреждении.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бухгалтерских документов. К акту прилагается перечень передаваемых документов, их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количество и тип.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нарушения в организации работы бухгалтерии.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членами комиссии.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которые возникли при приеме-передаче дел.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комиссию, указанную в пункте 3 настоящего Порядка, включаются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сотрудники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учреждения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и (или) учредителя в соответствии с приказом на передачу бухгалтерских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документов.</w:t>
      </w:r>
    </w:p>
    <w:p>
      <w:pPr>
        <w:pStyle w:val="Normal"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Передаются следующие документы: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учетная политика со всеми приложениями;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 планированию, в том числе бюджетная смета учреждения, план-график закупок,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обоснования к планам;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ведомости, карточки, журналы операций;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налоговые регистры;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задолженности учреждения, в том числе по уплате налогов;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состоянии лицевых счетов учреждения;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денежные документы и т. д.;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подписью главного бухгалтера;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ценностях;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обязательств учреждения с приложением инвентаризационных описей, акта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проверки кассы учреждения;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задолженности, перечень нереальных к взысканию сумм дебиторской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задолженности с исчерпывающей характеристикой по каждой сумме;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акты ревизий и проверок;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материалы о недостачах и хищениях, переданных и не переданных в</w:t>
      </w:r>
      <w:r>
        <w:rPr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правоохранительные органы;</w:t>
      </w:r>
    </w:p>
    <w:p>
      <w:pPr>
        <w:pStyle w:val="Normal"/>
        <w:numPr>
          <w:ilvl w:val="0"/>
          <w:numId w:val="12"/>
        </w:numPr>
        <w:spacing w:before="280" w:after="0"/>
        <w:ind w:left="780" w:right="180" w:hanging="36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бланки строгой отчетности;</w:t>
      </w:r>
    </w:p>
    <w:p>
      <w:pPr>
        <w:pStyle w:val="Normal"/>
        <w:numPr>
          <w:ilvl w:val="0"/>
          <w:numId w:val="12"/>
        </w:numPr>
        <w:spacing w:before="280" w:after="280"/>
        <w:ind w:left="780" w:right="180" w:hanging="36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учреждения.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руководитель и (или) уполномоченное лицо излагают их в письменной форме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присутствии комиссии.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>«Замечания прилагаются». Текст замечаний излагается на отдельном листе, небольшие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по объему замечания допускается фиксировать на самом акте.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</w:t>
      </w:r>
      <w:r>
        <w:rPr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 учреждении.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–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учредителю (руководителю учреждения, если увольняется главный бухгалтер), 2-й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экземпляр – увольняемому лицу, 3-й экземпляр – уполномоченному лицу, которое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принимало дела. </w:t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tbl>
      <w:tblPr>
        <w:tblW w:w="8897" w:type="dxa"/>
        <w:jc w:val="lef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443"/>
        <w:gridCol w:w="154"/>
        <w:gridCol w:w="6300"/>
      </w:tblGrid>
      <w:tr>
        <w:trPr/>
        <w:tc>
          <w:tcPr>
            <w:tcW w:w="2443" w:type="dxa"/>
            <w:tcBorders/>
            <w:vAlign w:val="bottom"/>
          </w:tcPr>
          <w:p>
            <w:pPr>
              <w:pStyle w:val="Normal"/>
              <w:spacing w:before="0" w:after="0"/>
              <w:ind w:left="75" w:right="75" w:hanging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54" w:type="dxa"/>
            <w:tcBorders>
              <w:bottom w:val="single" w:sz="6" w:space="0" w:color="000000"/>
            </w:tcBorders>
          </w:tcPr>
          <w:p>
            <w:pPr>
              <w:pStyle w:val="Normal"/>
              <w:spacing w:before="0" w:after="0"/>
              <w:ind w:left="75" w:right="75" w:hanging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6300" w:type="dxa"/>
            <w:tcBorders/>
            <w:vAlign w:val="bottom"/>
          </w:tcPr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А.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А.Шереметьева</w:t>
            </w:r>
          </w:p>
        </w:tc>
      </w:tr>
    </w:tbl>
    <w:p>
      <w:pPr>
        <w:pStyle w:val="Normal"/>
        <w:spacing w:before="280" w:after="280"/>
        <w:rPr>
          <w:lang w:val="ru-RU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PT Sans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e17"/>
    <w:pPr>
      <w:widowControl/>
      <w:suppressAutoHyphens w:val="true"/>
      <w:bidi w:val="0"/>
      <w:spacing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b73a5a"/>
    <w:pPr>
      <w:keepNext w:val="true"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Sans" w:hAnsi="PT Sans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Application>LibreOffice/6.4.7.2$Linux_X86_64 LibreOffice_project/72d9d5113b23a0ed474720f9d366fcde9a2744dd</Application>
  <Pages>22</Pages>
  <Words>5428</Words>
  <Characters>38050</Characters>
  <CharactersWithSpaces>43714</CharactersWithSpaces>
  <Paragraphs>262</Paragraphs>
  <Company>Departament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2020-01-10T08:55:00Z</dcterms:created>
  <dc:creator>Eric</dc:creator>
  <dc:description/>
  <dc:language>ru-RU</dc:language>
  <cp:lastModifiedBy/>
  <cp:lastPrinted>2024-04-17T14:20:43Z</cp:lastPrinted>
  <dcterms:modified xsi:type="dcterms:W3CDTF">2024-04-17T14:35:16Z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Departament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